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443DCB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443DCB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C0672F">
        <w:rPr>
          <w:rFonts w:hint="eastAsia"/>
          <w:sz w:val="20"/>
          <w:szCs w:val="20"/>
        </w:rPr>
        <w:t>の大きさは、日本産業</w:t>
      </w:r>
      <w:bookmarkStart w:id="0" w:name="_GoBack"/>
      <w:bookmarkEnd w:id="0"/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82" w:rsidRDefault="00851182" w:rsidP="00E73800">
      <w:r>
        <w:separator/>
      </w:r>
    </w:p>
  </w:endnote>
  <w:endnote w:type="continuationSeparator" w:id="0">
    <w:p w:rsidR="00851182" w:rsidRDefault="00851182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82" w:rsidRDefault="00851182" w:rsidP="00E73800">
      <w:r>
        <w:separator/>
      </w:r>
    </w:p>
  </w:footnote>
  <w:footnote w:type="continuationSeparator" w:id="0">
    <w:p w:rsidR="00851182" w:rsidRDefault="00851182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43DCB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851182"/>
    <w:rsid w:val="00907960"/>
    <w:rsid w:val="00911542"/>
    <w:rsid w:val="00987F3B"/>
    <w:rsid w:val="009C4F2C"/>
    <w:rsid w:val="00A2461F"/>
    <w:rsid w:val="00AB5759"/>
    <w:rsid w:val="00AE0C77"/>
    <w:rsid w:val="00BB1328"/>
    <w:rsid w:val="00C0672F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DE5CA"/>
  <w15:docId w15:val="{C4A64470-DD32-46D5-B2A2-9CAF51F2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>兵庫県警察本部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web2</dc:creator>
  <cp:keywords/>
  <dc:description/>
  <cp:lastModifiedBy>HPP</cp:lastModifiedBy>
  <cp:revision>3</cp:revision>
  <cp:lastPrinted>2006-04-05T09:03:00Z</cp:lastPrinted>
  <dcterms:created xsi:type="dcterms:W3CDTF">2018-01-23T05:44:00Z</dcterms:created>
  <dcterms:modified xsi:type="dcterms:W3CDTF">2020-01-09T08:00:00Z</dcterms:modified>
</cp:coreProperties>
</file>